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4302" w:rsidRPr="00960654" w:rsidRDefault="00784302" w:rsidP="00784302">
      <w:pPr>
        <w:rPr>
          <w:rFonts w:ascii="Arial" w:hAnsi="Arial" w:cs="Arial"/>
          <w:b/>
          <w:lang w:eastAsia="ja-JP"/>
        </w:rPr>
      </w:pPr>
      <w:r>
        <w:rPr>
          <w:rFonts w:ascii="Arial" w:hAnsi="Arial" w:cs="Arial"/>
          <w:b/>
          <w:lang w:eastAsia="ja-JP"/>
        </w:rPr>
        <w:t xml:space="preserve">                                      </w:t>
      </w:r>
      <w:r w:rsidR="00267BC0">
        <w:rPr>
          <w:rFonts w:ascii="Arial" w:hAnsi="Arial" w:cs="Arial"/>
          <w:b/>
          <w:lang w:eastAsia="ja-JP"/>
        </w:rPr>
        <w:t xml:space="preserve">   </w:t>
      </w:r>
      <w:r>
        <w:rPr>
          <w:rFonts w:ascii="Arial" w:hAnsi="Arial" w:cs="Arial"/>
          <w:b/>
          <w:lang w:eastAsia="ja-JP"/>
        </w:rPr>
        <w:t xml:space="preserve"> Duty of Candour Policy</w:t>
      </w:r>
    </w:p>
    <w:p w:rsidR="00784302" w:rsidRDefault="00784302" w:rsidP="00784302">
      <w:pPr>
        <w:rPr>
          <w:rFonts w:ascii="Arial" w:hAnsi="Arial" w:cs="Arial"/>
          <w:color w:val="000000"/>
        </w:rPr>
      </w:pPr>
    </w:p>
    <w:p w:rsidR="00784302" w:rsidRPr="00784302" w:rsidRDefault="00C507D7" w:rsidP="00784302">
      <w:pPr>
        <w:rPr>
          <w:rFonts w:ascii="Arial" w:hAnsi="Arial" w:cs="Arial"/>
        </w:rPr>
      </w:pPr>
      <w:hyperlink r:id="rId7" w:history="1">
        <w:r w:rsidR="00784302" w:rsidRPr="00784302">
          <w:rPr>
            <w:rStyle w:val="Hyperlink"/>
            <w:rFonts w:ascii="Arial" w:hAnsi="Arial" w:cs="Arial"/>
            <w:color w:val="auto"/>
          </w:rPr>
          <w:t>The Duty of Candour Procedures (Scotland) Regulations 2018</w:t>
        </w:r>
      </w:hyperlink>
      <w:r w:rsidR="00784302" w:rsidRPr="00784302">
        <w:rPr>
          <w:rFonts w:ascii="Arial" w:hAnsi="Arial" w:cs="Arial"/>
        </w:rPr>
        <w:t xml:space="preserve"> underpins our commitment to openness and transparency, which is vital to the provision of safe, effective and person-centred health and social care. Honesty, trust and effective communication can be difficult to maintain and easy to lose when things have gone wrong. If this should happen, then we would like to have the opportunity to try and resolve any issues or concerns you may have. The organisational Duty of Candour procedure is a legal duty.</w:t>
      </w:r>
    </w:p>
    <w:p w:rsidR="00784302" w:rsidRPr="00A42B35" w:rsidRDefault="00784302" w:rsidP="00784302">
      <w:pPr>
        <w:rPr>
          <w:rFonts w:ascii="Arial" w:hAnsi="Arial" w:cs="Arial"/>
          <w:highlight w:val="cyan"/>
        </w:rPr>
      </w:pPr>
    </w:p>
    <w:p w:rsidR="00784302" w:rsidRPr="00784302" w:rsidRDefault="00784302" w:rsidP="00784302">
      <w:pPr>
        <w:rPr>
          <w:rFonts w:ascii="Arial" w:hAnsi="Arial" w:cs="Arial"/>
        </w:rPr>
      </w:pPr>
    </w:p>
    <w:p w:rsidR="00784302" w:rsidRPr="00784302" w:rsidRDefault="00784302" w:rsidP="00784302">
      <w:pPr>
        <w:rPr>
          <w:rFonts w:ascii="Arial" w:hAnsi="Arial" w:cs="Arial"/>
        </w:rPr>
      </w:pPr>
      <w:r w:rsidRPr="00784302">
        <w:rPr>
          <w:rFonts w:ascii="Arial" w:hAnsi="Arial" w:cs="Arial"/>
        </w:rPr>
        <w:t>Procedure:</w:t>
      </w:r>
    </w:p>
    <w:p w:rsidR="00784302" w:rsidRPr="00784302" w:rsidRDefault="00784302" w:rsidP="00784302">
      <w:pPr>
        <w:numPr>
          <w:ilvl w:val="0"/>
          <w:numId w:val="1"/>
        </w:numPr>
        <w:rPr>
          <w:rFonts w:ascii="Arial" w:hAnsi="Arial" w:cs="Arial"/>
        </w:rPr>
      </w:pPr>
      <w:r w:rsidRPr="00784302">
        <w:rPr>
          <w:rFonts w:ascii="Arial" w:hAnsi="Arial" w:cs="Arial"/>
        </w:rPr>
        <w:t>When an unintended or unexpected incident that results in harm or death occurs, we will be open and accountable.</w:t>
      </w:r>
    </w:p>
    <w:p w:rsidR="00784302" w:rsidRPr="00784302" w:rsidRDefault="00784302" w:rsidP="00784302">
      <w:pPr>
        <w:numPr>
          <w:ilvl w:val="0"/>
          <w:numId w:val="1"/>
        </w:numPr>
        <w:rPr>
          <w:rFonts w:ascii="Arial" w:hAnsi="Arial" w:cs="Arial"/>
        </w:rPr>
      </w:pPr>
      <w:r w:rsidRPr="00784302">
        <w:rPr>
          <w:rFonts w:ascii="Arial" w:hAnsi="Arial" w:cs="Arial"/>
        </w:rPr>
        <w:t>We will apologise, without delay, if there are any misunderstandings or if something goes wrong.</w:t>
      </w:r>
    </w:p>
    <w:p w:rsidR="00784302" w:rsidRPr="00784302" w:rsidRDefault="00784302" w:rsidP="00784302">
      <w:pPr>
        <w:numPr>
          <w:ilvl w:val="0"/>
          <w:numId w:val="1"/>
        </w:numPr>
        <w:rPr>
          <w:rFonts w:ascii="Arial" w:hAnsi="Arial" w:cs="Arial"/>
        </w:rPr>
      </w:pPr>
      <w:r w:rsidRPr="00784302">
        <w:rPr>
          <w:rFonts w:ascii="Arial" w:hAnsi="Arial" w:cs="Arial"/>
        </w:rPr>
        <w:t>Our lead person will meet and discuss this with you, as soon as possible, when we are aware that an event has happened, or harm has been confirmed.</w:t>
      </w:r>
    </w:p>
    <w:p w:rsidR="00784302" w:rsidRPr="00784302" w:rsidRDefault="00784302" w:rsidP="00784302">
      <w:pPr>
        <w:numPr>
          <w:ilvl w:val="0"/>
          <w:numId w:val="1"/>
        </w:numPr>
        <w:rPr>
          <w:rFonts w:ascii="Arial" w:hAnsi="Arial" w:cs="Arial"/>
        </w:rPr>
      </w:pPr>
      <w:r w:rsidRPr="00784302">
        <w:rPr>
          <w:rFonts w:ascii="Arial" w:hAnsi="Arial" w:cs="Arial"/>
        </w:rPr>
        <w:t>We will listen and respond positively to your complaints and discuss what actions will be taken to reduce the risk of this type of incident happening again to anyone else.</w:t>
      </w:r>
    </w:p>
    <w:p w:rsidR="00784302" w:rsidRPr="00784302" w:rsidRDefault="00784302" w:rsidP="00784302">
      <w:pPr>
        <w:numPr>
          <w:ilvl w:val="0"/>
          <w:numId w:val="1"/>
        </w:numPr>
        <w:rPr>
          <w:rFonts w:ascii="Arial" w:hAnsi="Arial" w:cs="Arial"/>
        </w:rPr>
      </w:pPr>
      <w:r w:rsidRPr="00784302">
        <w:rPr>
          <w:rFonts w:ascii="Arial" w:hAnsi="Arial" w:cs="Arial"/>
        </w:rPr>
        <w:t>We will provide an annual duty of candour report.</w:t>
      </w:r>
    </w:p>
    <w:p w:rsidR="00784302" w:rsidRPr="00784302" w:rsidRDefault="00784302" w:rsidP="00784302">
      <w:pPr>
        <w:numPr>
          <w:ilvl w:val="0"/>
          <w:numId w:val="1"/>
        </w:numPr>
        <w:rPr>
          <w:rFonts w:ascii="Arial" w:hAnsi="Arial" w:cs="Arial"/>
        </w:rPr>
      </w:pPr>
      <w:r w:rsidRPr="00784302">
        <w:rPr>
          <w:rFonts w:ascii="Arial" w:hAnsi="Arial" w:cs="Arial"/>
        </w:rPr>
        <w:t>All staff will be trained on our organisation’s duty of candour procedure, so that they are able to:</w:t>
      </w:r>
    </w:p>
    <w:p w:rsidR="00784302" w:rsidRPr="00A42B35" w:rsidRDefault="00784302" w:rsidP="00784302">
      <w:pPr>
        <w:ind w:left="720"/>
        <w:rPr>
          <w:rFonts w:ascii="Arial" w:hAnsi="Arial" w:cs="Arial"/>
          <w:highlight w:val="cyan"/>
        </w:rPr>
      </w:pPr>
    </w:p>
    <w:p w:rsidR="00784302" w:rsidRPr="00784302" w:rsidRDefault="00784302" w:rsidP="00784302">
      <w:pPr>
        <w:numPr>
          <w:ilvl w:val="0"/>
          <w:numId w:val="2"/>
        </w:numPr>
        <w:ind w:hanging="1026"/>
        <w:rPr>
          <w:rFonts w:ascii="Arial" w:hAnsi="Arial" w:cs="Arial"/>
        </w:rPr>
      </w:pPr>
      <w:r w:rsidRPr="00784302">
        <w:rPr>
          <w:rFonts w:ascii="Arial" w:hAnsi="Arial" w:cs="Arial"/>
        </w:rPr>
        <w:t>Identify harm whether it is unintended or unexpected</w:t>
      </w:r>
    </w:p>
    <w:p w:rsidR="00784302" w:rsidRPr="00784302" w:rsidRDefault="00784302" w:rsidP="00784302">
      <w:pPr>
        <w:numPr>
          <w:ilvl w:val="0"/>
          <w:numId w:val="2"/>
        </w:numPr>
        <w:ind w:hanging="1026"/>
        <w:rPr>
          <w:rFonts w:ascii="Arial" w:hAnsi="Arial" w:cs="Arial"/>
        </w:rPr>
      </w:pPr>
      <w:r w:rsidRPr="00784302">
        <w:rPr>
          <w:rFonts w:ascii="Arial" w:hAnsi="Arial" w:cs="Arial"/>
        </w:rPr>
        <w:t>Understand what has gone wrong</w:t>
      </w:r>
    </w:p>
    <w:p w:rsidR="00784302" w:rsidRPr="00784302" w:rsidRDefault="00784302" w:rsidP="00784302">
      <w:pPr>
        <w:numPr>
          <w:ilvl w:val="0"/>
          <w:numId w:val="2"/>
        </w:numPr>
        <w:ind w:hanging="1026"/>
        <w:rPr>
          <w:rFonts w:ascii="Arial" w:hAnsi="Arial" w:cs="Arial"/>
        </w:rPr>
      </w:pPr>
      <w:r w:rsidRPr="00784302">
        <w:rPr>
          <w:rFonts w:ascii="Arial" w:hAnsi="Arial" w:cs="Arial"/>
        </w:rPr>
        <w:t>Know who to speak to, to discuss concerns/issues.</w:t>
      </w:r>
    </w:p>
    <w:p w:rsidR="00784302" w:rsidRPr="00A42B35" w:rsidRDefault="00784302" w:rsidP="00784302">
      <w:pPr>
        <w:rPr>
          <w:rFonts w:ascii="Arial" w:hAnsi="Arial" w:cs="Arial"/>
          <w:highlight w:val="cyan"/>
        </w:rPr>
      </w:pPr>
    </w:p>
    <w:p w:rsidR="00784302" w:rsidRPr="00A42B35" w:rsidRDefault="00784302" w:rsidP="00784302">
      <w:pPr>
        <w:rPr>
          <w:rFonts w:ascii="Arial" w:hAnsi="Arial" w:cs="Arial"/>
          <w:highlight w:val="cyan"/>
        </w:rPr>
      </w:pPr>
    </w:p>
    <w:p w:rsidR="00784302" w:rsidRPr="006F53E2" w:rsidRDefault="00784302" w:rsidP="00784302">
      <w:pPr>
        <w:rPr>
          <w:rFonts w:ascii="Arial" w:hAnsi="Arial"/>
        </w:rPr>
      </w:pPr>
      <w:r w:rsidRPr="006F53E2">
        <w:rPr>
          <w:rFonts w:ascii="Arial" w:hAnsi="Arial" w:cs="Arial"/>
        </w:rPr>
        <w:t xml:space="preserve">The legislation requires care services and social work services to publish their own duty of candour reports. Even if there are no incidents to which the duty has applied during the reporting period, a short report is still required, and must contain information about staff training on the duty of candour. </w:t>
      </w:r>
      <w:r w:rsidRPr="006F53E2">
        <w:rPr>
          <w:rFonts w:ascii="Arial" w:hAnsi="Arial"/>
        </w:rPr>
        <w:t xml:space="preserve">We will produce a report on meeting the duty of candour annually. </w:t>
      </w:r>
    </w:p>
    <w:p w:rsidR="00784302" w:rsidRPr="00A42B35" w:rsidRDefault="00784302" w:rsidP="00784302">
      <w:pPr>
        <w:rPr>
          <w:rFonts w:ascii="Arial" w:hAnsi="Arial"/>
          <w:highlight w:val="cyan"/>
        </w:rPr>
      </w:pPr>
    </w:p>
    <w:p w:rsidR="00784302" w:rsidRPr="006F53E2" w:rsidRDefault="00784302" w:rsidP="00784302">
      <w:pPr>
        <w:rPr>
          <w:rFonts w:ascii="Arial" w:hAnsi="Arial"/>
        </w:rPr>
      </w:pPr>
    </w:p>
    <w:p w:rsidR="00784302" w:rsidRPr="006F53E2" w:rsidRDefault="00784302" w:rsidP="00784302">
      <w:pPr>
        <w:rPr>
          <w:rFonts w:ascii="Arial" w:hAnsi="Arial"/>
        </w:rPr>
      </w:pPr>
      <w:r w:rsidRPr="006F53E2">
        <w:rPr>
          <w:rFonts w:ascii="Arial" w:hAnsi="Arial"/>
        </w:rPr>
        <w:t>The Care Inspectorate has a recording system on their e-form site. One of the key questions that requires to be answered is “</w:t>
      </w:r>
      <w:r w:rsidRPr="006F53E2">
        <w:rPr>
          <w:rFonts w:ascii="Arial" w:hAnsi="Arial"/>
          <w:bCs/>
        </w:rPr>
        <w:t>Does this incident trigger the duty of candour</w:t>
      </w:r>
      <w:r w:rsidRPr="006F53E2">
        <w:rPr>
          <w:rFonts w:ascii="Arial" w:hAnsi="Arial"/>
        </w:rPr>
        <w:t>?”.  A designated member of staff will be asked to collect data on how the duty is being implemented and help embed awareness. We will, in turn, annually report and record these findings.</w:t>
      </w:r>
    </w:p>
    <w:p w:rsidR="00784302" w:rsidRPr="006F53E2" w:rsidRDefault="00784302" w:rsidP="00784302">
      <w:pPr>
        <w:tabs>
          <w:tab w:val="left" w:pos="1440"/>
          <w:tab w:val="center" w:pos="4153"/>
          <w:tab w:val="left" w:pos="6120"/>
          <w:tab w:val="right" w:pos="8306"/>
        </w:tabs>
        <w:rPr>
          <w:rFonts w:ascii="Arial" w:hAnsi="Arial"/>
        </w:rPr>
      </w:pPr>
    </w:p>
    <w:p w:rsidR="00784302" w:rsidRPr="006F53E2" w:rsidRDefault="00784302" w:rsidP="00784302">
      <w:pPr>
        <w:tabs>
          <w:tab w:val="left" w:pos="1440"/>
          <w:tab w:val="center" w:pos="4153"/>
          <w:tab w:val="left" w:pos="6120"/>
          <w:tab w:val="right" w:pos="8306"/>
        </w:tabs>
        <w:rPr>
          <w:rFonts w:ascii="Arial" w:hAnsi="Arial"/>
        </w:rPr>
      </w:pPr>
      <w:r w:rsidRPr="006F53E2">
        <w:rPr>
          <w:rFonts w:ascii="Arial" w:hAnsi="Arial"/>
        </w:rPr>
        <w:t>This report will include an assessment of how the duty was carried out and provide:</w:t>
      </w:r>
    </w:p>
    <w:p w:rsidR="00784302" w:rsidRPr="006F53E2" w:rsidRDefault="00784302" w:rsidP="00784302">
      <w:pPr>
        <w:numPr>
          <w:ilvl w:val="0"/>
          <w:numId w:val="3"/>
        </w:numPr>
        <w:tabs>
          <w:tab w:val="left" w:pos="709"/>
          <w:tab w:val="center" w:pos="4153"/>
          <w:tab w:val="left" w:pos="6120"/>
          <w:tab w:val="right" w:pos="8306"/>
        </w:tabs>
        <w:ind w:left="709" w:hanging="283"/>
        <w:rPr>
          <w:rFonts w:ascii="Arial" w:hAnsi="Arial"/>
        </w:rPr>
      </w:pPr>
      <w:r w:rsidRPr="006F53E2">
        <w:rPr>
          <w:rFonts w:ascii="Arial" w:hAnsi="Arial"/>
        </w:rPr>
        <w:t>A record of the number of unexpected incidents that have resulted in death or harm;</w:t>
      </w:r>
    </w:p>
    <w:p w:rsidR="00784302" w:rsidRPr="006F53E2" w:rsidRDefault="00784302" w:rsidP="00784302">
      <w:pPr>
        <w:numPr>
          <w:ilvl w:val="0"/>
          <w:numId w:val="3"/>
        </w:numPr>
        <w:tabs>
          <w:tab w:val="left" w:pos="709"/>
          <w:tab w:val="center" w:pos="4153"/>
          <w:tab w:val="left" w:pos="6120"/>
          <w:tab w:val="right" w:pos="8306"/>
        </w:tabs>
        <w:ind w:left="709" w:hanging="283"/>
        <w:rPr>
          <w:rFonts w:ascii="Arial" w:hAnsi="Arial"/>
        </w:rPr>
      </w:pPr>
      <w:r w:rsidRPr="006F53E2">
        <w:rPr>
          <w:rFonts w:ascii="Arial" w:hAnsi="Arial"/>
        </w:rPr>
        <w:t>The nature of the incident; and</w:t>
      </w:r>
    </w:p>
    <w:p w:rsidR="00267BC0" w:rsidRDefault="00784302" w:rsidP="00267BC0">
      <w:pPr>
        <w:numPr>
          <w:ilvl w:val="0"/>
          <w:numId w:val="3"/>
        </w:numPr>
        <w:tabs>
          <w:tab w:val="left" w:pos="709"/>
          <w:tab w:val="center" w:pos="4153"/>
          <w:tab w:val="left" w:pos="6120"/>
          <w:tab w:val="right" w:pos="8306"/>
        </w:tabs>
        <w:ind w:left="709" w:hanging="283"/>
        <w:rPr>
          <w:rFonts w:ascii="Arial" w:hAnsi="Arial"/>
        </w:rPr>
      </w:pPr>
      <w:r w:rsidRPr="006F53E2">
        <w:rPr>
          <w:rFonts w:ascii="Arial" w:hAnsi="Arial"/>
        </w:rPr>
        <w:t>A review of any policy and procedures reviewed and any changes made as a result of the incidents reported.</w:t>
      </w:r>
      <w:bookmarkStart w:id="0" w:name="_GoBack"/>
      <w:bookmarkEnd w:id="0"/>
    </w:p>
    <w:p w:rsidR="00267BC0" w:rsidRPr="00267BC0" w:rsidRDefault="00267BC0" w:rsidP="00267BC0">
      <w:pPr>
        <w:tabs>
          <w:tab w:val="left" w:pos="709"/>
          <w:tab w:val="center" w:pos="4153"/>
          <w:tab w:val="left" w:pos="6120"/>
          <w:tab w:val="right" w:pos="8306"/>
        </w:tabs>
        <w:rPr>
          <w:rFonts w:ascii="Arial" w:hAnsi="Arial"/>
        </w:rPr>
      </w:pPr>
      <w:r>
        <w:rPr>
          <w:rFonts w:ascii="Arial" w:hAnsi="Arial"/>
        </w:rPr>
        <w:lastRenderedPageBreak/>
        <w:t xml:space="preserve">All new staff learn about Duty of Candour at their induction and understaff the Duty of Candour Online Learning module. </w:t>
      </w:r>
    </w:p>
    <w:p w:rsidR="00784302" w:rsidRPr="00A42B35" w:rsidRDefault="00784302" w:rsidP="00784302">
      <w:pPr>
        <w:tabs>
          <w:tab w:val="left" w:pos="709"/>
          <w:tab w:val="center" w:pos="4153"/>
          <w:tab w:val="left" w:pos="6120"/>
          <w:tab w:val="right" w:pos="8306"/>
        </w:tabs>
        <w:ind w:left="709"/>
        <w:rPr>
          <w:rFonts w:ascii="Arial" w:hAnsi="Arial"/>
          <w:highlight w:val="cyan"/>
        </w:rPr>
      </w:pPr>
    </w:p>
    <w:p w:rsidR="00784302" w:rsidRPr="006F53E2" w:rsidRDefault="00784302" w:rsidP="00784302">
      <w:pPr>
        <w:tabs>
          <w:tab w:val="left" w:pos="1440"/>
          <w:tab w:val="center" w:pos="4153"/>
          <w:tab w:val="left" w:pos="6120"/>
          <w:tab w:val="right" w:pos="8306"/>
        </w:tabs>
        <w:rPr>
          <w:rFonts w:ascii="Arial" w:hAnsi="Arial"/>
        </w:rPr>
      </w:pPr>
      <w:r w:rsidRPr="006F53E2">
        <w:rPr>
          <w:rFonts w:ascii="Arial" w:hAnsi="Arial"/>
        </w:rPr>
        <w:t>The Duty of Candour sets out a range of things that need to happen when unexpected or unintended harm has occurred. You will find the online training resources information here:</w:t>
      </w:r>
    </w:p>
    <w:p w:rsidR="00784302" w:rsidRPr="00A42B35" w:rsidRDefault="00784302" w:rsidP="00784302">
      <w:pPr>
        <w:tabs>
          <w:tab w:val="left" w:pos="1440"/>
          <w:tab w:val="center" w:pos="4153"/>
          <w:tab w:val="left" w:pos="6120"/>
          <w:tab w:val="right" w:pos="8306"/>
        </w:tabs>
        <w:rPr>
          <w:rFonts w:ascii="Arial" w:hAnsi="Arial"/>
          <w:highlight w:val="cyan"/>
        </w:rPr>
      </w:pPr>
    </w:p>
    <w:p w:rsidR="00784302" w:rsidRPr="00BA2F50" w:rsidRDefault="00C507D7" w:rsidP="00784302">
      <w:pPr>
        <w:tabs>
          <w:tab w:val="left" w:pos="1440"/>
          <w:tab w:val="center" w:pos="4153"/>
          <w:tab w:val="left" w:pos="6120"/>
          <w:tab w:val="right" w:pos="8306"/>
        </w:tabs>
        <w:rPr>
          <w:rFonts w:ascii="Arial" w:hAnsi="Arial"/>
        </w:rPr>
      </w:pPr>
      <w:hyperlink r:id="rId8" w:history="1">
        <w:r w:rsidR="00784302" w:rsidRPr="00BA2F50">
          <w:rPr>
            <w:rStyle w:val="Hyperlink"/>
            <w:rFonts w:ascii="Arial" w:hAnsi="Arial"/>
            <w:color w:val="auto"/>
          </w:rPr>
          <w:t>www.careinspectorate.com/index.php/duty-of-candour</w:t>
        </w:r>
      </w:hyperlink>
    </w:p>
    <w:p w:rsidR="00784302" w:rsidRPr="00BA2F50" w:rsidRDefault="00784302" w:rsidP="00784302">
      <w:pPr>
        <w:tabs>
          <w:tab w:val="left" w:pos="1440"/>
          <w:tab w:val="center" w:pos="4153"/>
          <w:tab w:val="left" w:pos="6120"/>
          <w:tab w:val="right" w:pos="8306"/>
        </w:tabs>
        <w:rPr>
          <w:rFonts w:ascii="Arial" w:hAnsi="Arial"/>
        </w:rPr>
      </w:pPr>
    </w:p>
    <w:p w:rsidR="00784302" w:rsidRPr="00BA2F50" w:rsidRDefault="00C507D7" w:rsidP="00784302">
      <w:pPr>
        <w:tabs>
          <w:tab w:val="left" w:pos="1440"/>
          <w:tab w:val="center" w:pos="4153"/>
          <w:tab w:val="left" w:pos="6120"/>
          <w:tab w:val="right" w:pos="8306"/>
        </w:tabs>
        <w:rPr>
          <w:rFonts w:ascii="Arial" w:hAnsi="Arial"/>
        </w:rPr>
      </w:pPr>
      <w:hyperlink r:id="rId9" w:history="1">
        <w:r w:rsidR="00784302" w:rsidRPr="00BA2F50">
          <w:rPr>
            <w:rStyle w:val="Hyperlink"/>
            <w:rFonts w:ascii="Arial" w:hAnsi="Arial"/>
            <w:color w:val="auto"/>
          </w:rPr>
          <w:t>www.gov.scot/Resource/0053/00533470.pdf</w:t>
        </w:r>
      </w:hyperlink>
    </w:p>
    <w:p w:rsidR="00784302" w:rsidRDefault="00784302" w:rsidP="00784302">
      <w:pPr>
        <w:rPr>
          <w:rFonts w:ascii="Arial" w:hAnsi="Arial" w:cs="Arial"/>
          <w:b/>
        </w:rPr>
      </w:pPr>
    </w:p>
    <w:p w:rsidR="00784302" w:rsidRDefault="00784302" w:rsidP="00784302">
      <w:pPr>
        <w:rPr>
          <w:rFonts w:ascii="Arial" w:hAnsi="Arial" w:cs="Arial"/>
          <w:b/>
        </w:rPr>
      </w:pPr>
    </w:p>
    <w:p w:rsidR="00784302" w:rsidRDefault="00784302" w:rsidP="00784302">
      <w:pPr>
        <w:rPr>
          <w:rFonts w:ascii="Arial" w:hAnsi="Arial" w:cs="Arial"/>
        </w:rPr>
      </w:pPr>
    </w:p>
    <w:p w:rsidR="00784302" w:rsidRDefault="00784302" w:rsidP="00784302">
      <w:pPr>
        <w:rPr>
          <w:rFonts w:ascii="Arial" w:hAnsi="Arial" w:cs="Arial"/>
        </w:rPr>
      </w:pPr>
    </w:p>
    <w:p w:rsidR="00784302" w:rsidRDefault="00784302" w:rsidP="00784302">
      <w:pPr>
        <w:rPr>
          <w:rFonts w:ascii="Arial" w:hAnsi="Arial" w:cs="Arial"/>
        </w:rPr>
      </w:pPr>
    </w:p>
    <w:p w:rsidR="00784302" w:rsidRDefault="00784302" w:rsidP="00784302">
      <w:pPr>
        <w:rPr>
          <w:rFonts w:ascii="Arial" w:hAnsi="Arial" w:cs="Arial"/>
        </w:rPr>
      </w:pPr>
    </w:p>
    <w:p w:rsidR="00784302" w:rsidRDefault="00784302" w:rsidP="00784302">
      <w:pPr>
        <w:rPr>
          <w:rFonts w:ascii="Arial" w:hAnsi="Arial" w:cs="Arial"/>
        </w:rPr>
      </w:pPr>
    </w:p>
    <w:p w:rsidR="00784302" w:rsidRDefault="00784302" w:rsidP="00784302">
      <w:pPr>
        <w:rPr>
          <w:rFonts w:ascii="Arial" w:hAnsi="Arial" w:cs="Arial"/>
        </w:rPr>
      </w:pPr>
    </w:p>
    <w:p w:rsidR="00784302" w:rsidRDefault="00784302" w:rsidP="00784302">
      <w:pPr>
        <w:rPr>
          <w:rFonts w:ascii="Arial" w:hAnsi="Arial" w:cs="Arial"/>
        </w:rPr>
      </w:pPr>
    </w:p>
    <w:p w:rsidR="00784302" w:rsidRDefault="00784302" w:rsidP="00784302">
      <w:pPr>
        <w:rPr>
          <w:rFonts w:ascii="Arial" w:hAnsi="Arial" w:cs="Arial"/>
        </w:rPr>
      </w:pPr>
    </w:p>
    <w:p w:rsidR="00784302" w:rsidRDefault="00784302" w:rsidP="00784302">
      <w:pPr>
        <w:rPr>
          <w:rFonts w:ascii="Arial" w:hAnsi="Arial" w:cs="Arial"/>
        </w:rPr>
      </w:pPr>
    </w:p>
    <w:p w:rsidR="00784302" w:rsidRDefault="00784302" w:rsidP="00784302">
      <w:pPr>
        <w:rPr>
          <w:rFonts w:ascii="Arial" w:hAnsi="Arial" w:cs="Arial"/>
        </w:rPr>
      </w:pPr>
    </w:p>
    <w:p w:rsidR="00784302" w:rsidRDefault="00784302" w:rsidP="00784302">
      <w:pPr>
        <w:rPr>
          <w:rFonts w:ascii="Arial" w:hAnsi="Arial" w:cs="Arial"/>
        </w:rPr>
      </w:pPr>
    </w:p>
    <w:p w:rsidR="00784302" w:rsidRDefault="00784302" w:rsidP="00784302">
      <w:pPr>
        <w:rPr>
          <w:rFonts w:ascii="Arial" w:hAnsi="Arial" w:cs="Arial"/>
        </w:rPr>
      </w:pPr>
    </w:p>
    <w:p w:rsidR="00784302" w:rsidRDefault="00784302" w:rsidP="00784302">
      <w:pPr>
        <w:rPr>
          <w:rFonts w:ascii="Arial" w:hAnsi="Arial" w:cs="Arial"/>
        </w:rPr>
      </w:pPr>
    </w:p>
    <w:p w:rsidR="00784302" w:rsidRDefault="00784302" w:rsidP="00784302">
      <w:pPr>
        <w:rPr>
          <w:rFonts w:ascii="Arial" w:hAnsi="Arial" w:cs="Arial"/>
        </w:rPr>
      </w:pPr>
    </w:p>
    <w:p w:rsidR="00784302" w:rsidRPr="00A42B35" w:rsidRDefault="00784302" w:rsidP="00784302">
      <w:pPr>
        <w:widowControl w:val="0"/>
        <w:suppressAutoHyphens/>
        <w:spacing w:line="288" w:lineRule="auto"/>
        <w:rPr>
          <w:rFonts w:ascii="Arial" w:eastAsia="SimSun" w:hAnsi="Arial" w:cs="Arial"/>
          <w:bCs/>
          <w:color w:val="FF0000"/>
          <w:kern w:val="2"/>
          <w:sz w:val="20"/>
          <w:szCs w:val="20"/>
          <w:highlight w:val="cyan"/>
          <w:lang w:eastAsia="hi-IN" w:bidi="hi-IN"/>
        </w:rPr>
      </w:pPr>
    </w:p>
    <w:p w:rsidR="00784302" w:rsidRPr="00A42B35" w:rsidRDefault="00784302" w:rsidP="00784302">
      <w:pPr>
        <w:rPr>
          <w:rFonts w:ascii="Arial" w:hAnsi="Arial" w:cs="Arial"/>
          <w:highlight w:val="cyan"/>
        </w:rPr>
      </w:pPr>
    </w:p>
    <w:p w:rsidR="00784302" w:rsidRPr="00A42B35" w:rsidRDefault="00784302" w:rsidP="00784302">
      <w:pPr>
        <w:rPr>
          <w:rFonts w:ascii="Arial" w:hAnsi="Arial" w:cs="Arial"/>
          <w:i/>
          <w:iCs/>
          <w:highlight w:val="cyan"/>
        </w:rPr>
      </w:pPr>
    </w:p>
    <w:p w:rsidR="00784302" w:rsidRPr="00A42B35" w:rsidRDefault="00784302" w:rsidP="00784302">
      <w:pPr>
        <w:rPr>
          <w:rFonts w:ascii="Arial" w:hAnsi="Arial" w:cs="Arial"/>
          <w:i/>
          <w:iCs/>
          <w:highlight w:val="cyan"/>
        </w:rPr>
      </w:pPr>
    </w:p>
    <w:p w:rsidR="00784302" w:rsidRPr="00A42B35" w:rsidRDefault="00784302" w:rsidP="00784302">
      <w:pPr>
        <w:rPr>
          <w:rFonts w:ascii="Arial" w:hAnsi="Arial" w:cs="Arial"/>
          <w:i/>
          <w:iCs/>
          <w:highlight w:val="cyan"/>
        </w:rPr>
      </w:pPr>
    </w:p>
    <w:p w:rsidR="004E262F" w:rsidRDefault="004E262F"/>
    <w:sectPr w:rsidR="004E262F">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07D7" w:rsidRDefault="00C507D7" w:rsidP="00267BC0">
      <w:r>
        <w:separator/>
      </w:r>
    </w:p>
  </w:endnote>
  <w:endnote w:type="continuationSeparator" w:id="0">
    <w:p w:rsidR="00C507D7" w:rsidRDefault="00C507D7" w:rsidP="00267B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BC0" w:rsidRDefault="00267BC0">
    <w:pPr>
      <w:pStyle w:val="Footer"/>
    </w:pPr>
    <w:r>
      <w:t xml:space="preserve">Buddies Nursery                                                </w:t>
    </w:r>
    <w:r w:rsidR="00AC6B21">
      <w:t xml:space="preserve">           Updated July </w:t>
    </w:r>
    <w:r w:rsidR="00050CDB">
      <w:t>2026</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07D7" w:rsidRDefault="00C507D7" w:rsidP="00267BC0">
      <w:r>
        <w:separator/>
      </w:r>
    </w:p>
  </w:footnote>
  <w:footnote w:type="continuationSeparator" w:id="0">
    <w:p w:rsidR="00C507D7" w:rsidRDefault="00C507D7" w:rsidP="00267BC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7158DB"/>
    <w:multiLevelType w:val="hybridMultilevel"/>
    <w:tmpl w:val="32D22266"/>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4327626A"/>
    <w:multiLevelType w:val="hybridMultilevel"/>
    <w:tmpl w:val="7C46110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7C8C6279"/>
    <w:multiLevelType w:val="hybridMultilevel"/>
    <w:tmpl w:val="0C3E1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4302"/>
    <w:rsid w:val="00050CDB"/>
    <w:rsid w:val="001F417B"/>
    <w:rsid w:val="00267BC0"/>
    <w:rsid w:val="004E262F"/>
    <w:rsid w:val="006F53E2"/>
    <w:rsid w:val="00784302"/>
    <w:rsid w:val="00AC6B21"/>
    <w:rsid w:val="00BA2F50"/>
    <w:rsid w:val="00C507D7"/>
    <w:rsid w:val="00EB011A"/>
    <w:rsid w:val="00FE1F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700C6"/>
  <w15:chartTrackingRefBased/>
  <w15:docId w15:val="{436F5836-80E4-4D87-8A2D-039B06835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4302"/>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784302"/>
    <w:rPr>
      <w:strike w:val="0"/>
      <w:dstrike w:val="0"/>
      <w:color w:val="412682"/>
      <w:u w:val="none"/>
      <w:effect w:val="none"/>
    </w:rPr>
  </w:style>
  <w:style w:type="paragraph" w:styleId="BalloonText">
    <w:name w:val="Balloon Text"/>
    <w:basedOn w:val="Normal"/>
    <w:link w:val="BalloonTextChar"/>
    <w:uiPriority w:val="99"/>
    <w:semiHidden/>
    <w:unhideWhenUsed/>
    <w:rsid w:val="00267BC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7BC0"/>
    <w:rPr>
      <w:rFonts w:ascii="Segoe UI" w:eastAsia="Times New Roman" w:hAnsi="Segoe UI" w:cs="Segoe UI"/>
      <w:sz w:val="18"/>
      <w:szCs w:val="18"/>
      <w:lang w:eastAsia="en-GB"/>
    </w:rPr>
  </w:style>
  <w:style w:type="paragraph" w:styleId="Header">
    <w:name w:val="header"/>
    <w:basedOn w:val="Normal"/>
    <w:link w:val="HeaderChar"/>
    <w:uiPriority w:val="99"/>
    <w:unhideWhenUsed/>
    <w:rsid w:val="00267BC0"/>
    <w:pPr>
      <w:tabs>
        <w:tab w:val="center" w:pos="4513"/>
        <w:tab w:val="right" w:pos="9026"/>
      </w:tabs>
    </w:pPr>
  </w:style>
  <w:style w:type="character" w:customStyle="1" w:styleId="HeaderChar">
    <w:name w:val="Header Char"/>
    <w:basedOn w:val="DefaultParagraphFont"/>
    <w:link w:val="Header"/>
    <w:uiPriority w:val="99"/>
    <w:rsid w:val="00267BC0"/>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267BC0"/>
    <w:pPr>
      <w:tabs>
        <w:tab w:val="center" w:pos="4513"/>
        <w:tab w:val="right" w:pos="9026"/>
      </w:tabs>
    </w:pPr>
  </w:style>
  <w:style w:type="character" w:customStyle="1" w:styleId="FooterChar">
    <w:name w:val="Footer Char"/>
    <w:basedOn w:val="DefaultParagraphFont"/>
    <w:link w:val="Footer"/>
    <w:uiPriority w:val="99"/>
    <w:rsid w:val="00267BC0"/>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reinspectorate.com/index.php/duty-of-candour" TargetMode="External"/><Relationship Id="rId3" Type="http://schemas.openxmlformats.org/officeDocument/2006/relationships/settings" Target="settings.xml"/><Relationship Id="rId7" Type="http://schemas.openxmlformats.org/officeDocument/2006/relationships/hyperlink" Target="https://www.legislation.gov.uk/ssi/2018/57/ma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gov.scot/Resource/0053/0053347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217</TotalTime>
  <Pages>1</Pages>
  <Words>457</Words>
  <Characters>2610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Cree</dc:creator>
  <cp:keywords/>
  <dc:description/>
  <cp:lastModifiedBy>Deborah Cree</cp:lastModifiedBy>
  <cp:revision>4</cp:revision>
  <cp:lastPrinted>2025-07-17T10:17:00Z</cp:lastPrinted>
  <dcterms:created xsi:type="dcterms:W3CDTF">2025-02-11T10:45:00Z</dcterms:created>
  <dcterms:modified xsi:type="dcterms:W3CDTF">2026-07-14T08:01:00Z</dcterms:modified>
</cp:coreProperties>
</file>